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9FFE0">
      <w:pPr>
        <w:pStyle w:val="2"/>
        <w:spacing w:line="255" w:lineRule="auto"/>
      </w:pPr>
    </w:p>
    <w:p w14:paraId="0284B1EA">
      <w:pPr>
        <w:pStyle w:val="2"/>
        <w:spacing w:line="255" w:lineRule="auto"/>
      </w:pPr>
    </w:p>
    <w:p w14:paraId="2AA607C1">
      <w:pPr>
        <w:pStyle w:val="2"/>
        <w:spacing w:line="255" w:lineRule="auto"/>
      </w:pPr>
    </w:p>
    <w:p w14:paraId="7DB1C7E9">
      <w:pPr>
        <w:pStyle w:val="2"/>
        <w:spacing w:line="255" w:lineRule="auto"/>
      </w:pPr>
    </w:p>
    <w:p w14:paraId="343DCE01">
      <w:pPr>
        <w:pStyle w:val="2"/>
        <w:spacing w:line="255" w:lineRule="auto"/>
      </w:pPr>
    </w:p>
    <w:p w14:paraId="02362713">
      <w:pPr>
        <w:pStyle w:val="2"/>
        <w:spacing w:line="256" w:lineRule="auto"/>
      </w:pPr>
    </w:p>
    <w:p w14:paraId="61F8339E">
      <w:pPr>
        <w:pStyle w:val="2"/>
        <w:spacing w:line="256" w:lineRule="auto"/>
      </w:pPr>
    </w:p>
    <w:p w14:paraId="5EEABBE1">
      <w:pPr>
        <w:spacing w:before="133" w:line="222" w:lineRule="auto"/>
        <w:jc w:val="center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pacing w:val="10"/>
          <w:sz w:val="36"/>
          <w:szCs w:val="36"/>
          <w:lang w:eastAsia="zh-CN"/>
        </w:rPr>
        <w:t>合阳县消防救援大队食堂原材料配送服务项目</w:t>
      </w:r>
    </w:p>
    <w:p w14:paraId="75A07A12">
      <w:pPr>
        <w:pStyle w:val="2"/>
        <w:spacing w:line="298" w:lineRule="auto"/>
      </w:pPr>
    </w:p>
    <w:p w14:paraId="44E1E38F">
      <w:pPr>
        <w:pStyle w:val="2"/>
        <w:spacing w:line="298" w:lineRule="auto"/>
      </w:pPr>
    </w:p>
    <w:p w14:paraId="616EA414">
      <w:pPr>
        <w:pStyle w:val="2"/>
        <w:spacing w:line="298" w:lineRule="auto"/>
      </w:pPr>
    </w:p>
    <w:p w14:paraId="7DBB39D2">
      <w:pPr>
        <w:pStyle w:val="2"/>
        <w:spacing w:line="298" w:lineRule="auto"/>
      </w:pPr>
    </w:p>
    <w:p w14:paraId="4A15D495">
      <w:pPr>
        <w:spacing w:before="101" w:line="224" w:lineRule="auto"/>
        <w:ind w:left="2204"/>
        <w:rPr>
          <w:rFonts w:hint="eastAsia" w:ascii="Times New Roman" w:hAnsi="Times New Roman" w:eastAsia="仿宋" w:cs="Times New Roman"/>
          <w:sz w:val="31"/>
          <w:szCs w:val="31"/>
          <w:lang w:eastAsia="zh-CN"/>
        </w:rPr>
      </w:pPr>
      <w:r>
        <w:rPr>
          <w:rFonts w:ascii="仿宋" w:hAnsi="仿宋" w:eastAsia="仿宋" w:cs="仿宋"/>
          <w:spacing w:val="-16"/>
          <w:sz w:val="31"/>
          <w:szCs w:val="31"/>
        </w:rPr>
        <w:t>合同编号：</w:t>
      </w:r>
      <w:r>
        <w:rPr>
          <w:rFonts w:hint="eastAsia" w:ascii="Times New Roman" w:hAnsi="Times New Roman" w:eastAsia="宋体" w:cs="Times New Roman"/>
          <w:spacing w:val="-16"/>
          <w:sz w:val="31"/>
          <w:szCs w:val="31"/>
          <w:lang w:val="en-US" w:eastAsia="zh-CN"/>
        </w:rPr>
        <w:t xml:space="preserve"> </w:t>
      </w:r>
    </w:p>
    <w:p w14:paraId="078CBCF4">
      <w:pPr>
        <w:pStyle w:val="2"/>
        <w:spacing w:line="244" w:lineRule="auto"/>
      </w:pPr>
    </w:p>
    <w:p w14:paraId="1DC7AFCD">
      <w:pPr>
        <w:pStyle w:val="2"/>
        <w:spacing w:line="244" w:lineRule="auto"/>
      </w:pPr>
    </w:p>
    <w:p w14:paraId="5BE0FA31">
      <w:pPr>
        <w:pStyle w:val="2"/>
        <w:spacing w:line="244" w:lineRule="auto"/>
      </w:pPr>
    </w:p>
    <w:p w14:paraId="7631681A">
      <w:pPr>
        <w:pStyle w:val="2"/>
        <w:spacing w:line="244" w:lineRule="auto"/>
      </w:pPr>
    </w:p>
    <w:p w14:paraId="01BA7A40">
      <w:pPr>
        <w:pStyle w:val="2"/>
        <w:spacing w:line="244" w:lineRule="auto"/>
      </w:pPr>
    </w:p>
    <w:p w14:paraId="43609C5B">
      <w:pPr>
        <w:pStyle w:val="2"/>
        <w:spacing w:line="244" w:lineRule="auto"/>
      </w:pPr>
    </w:p>
    <w:p w14:paraId="1D87F84D">
      <w:pPr>
        <w:pStyle w:val="2"/>
        <w:spacing w:line="244" w:lineRule="auto"/>
      </w:pPr>
    </w:p>
    <w:p w14:paraId="28F2C8DF">
      <w:pPr>
        <w:pStyle w:val="2"/>
        <w:spacing w:line="244" w:lineRule="auto"/>
      </w:pPr>
    </w:p>
    <w:p w14:paraId="6AAFF603">
      <w:pPr>
        <w:pStyle w:val="2"/>
        <w:spacing w:line="244" w:lineRule="auto"/>
      </w:pPr>
    </w:p>
    <w:p w14:paraId="64A14C83">
      <w:pPr>
        <w:pStyle w:val="2"/>
        <w:spacing w:line="244" w:lineRule="auto"/>
      </w:pPr>
    </w:p>
    <w:p w14:paraId="5DC7594F">
      <w:pPr>
        <w:pStyle w:val="2"/>
        <w:spacing w:line="244" w:lineRule="auto"/>
      </w:pPr>
    </w:p>
    <w:p w14:paraId="184F5442">
      <w:pPr>
        <w:pStyle w:val="2"/>
        <w:spacing w:line="245" w:lineRule="auto"/>
      </w:pPr>
    </w:p>
    <w:p w14:paraId="7352A0DE">
      <w:pPr>
        <w:pStyle w:val="2"/>
        <w:spacing w:line="245" w:lineRule="auto"/>
      </w:pPr>
    </w:p>
    <w:p w14:paraId="6FF555F7">
      <w:pPr>
        <w:pStyle w:val="2"/>
        <w:spacing w:line="245" w:lineRule="auto"/>
      </w:pPr>
    </w:p>
    <w:p w14:paraId="16B62763">
      <w:pPr>
        <w:pStyle w:val="2"/>
        <w:spacing w:line="245" w:lineRule="auto"/>
      </w:pPr>
    </w:p>
    <w:p w14:paraId="4F152718">
      <w:pPr>
        <w:pStyle w:val="2"/>
        <w:spacing w:line="245" w:lineRule="auto"/>
      </w:pPr>
    </w:p>
    <w:p w14:paraId="3DE27AC1">
      <w:pPr>
        <w:pStyle w:val="2"/>
        <w:spacing w:line="245" w:lineRule="auto"/>
      </w:pPr>
    </w:p>
    <w:p w14:paraId="5F7136BC">
      <w:pPr>
        <w:pStyle w:val="2"/>
        <w:spacing w:line="245" w:lineRule="auto"/>
      </w:pPr>
    </w:p>
    <w:p w14:paraId="2A39FE97">
      <w:pPr>
        <w:pStyle w:val="2"/>
        <w:spacing w:line="245" w:lineRule="auto"/>
      </w:pPr>
    </w:p>
    <w:p w14:paraId="6E6566DB">
      <w:pPr>
        <w:pStyle w:val="2"/>
        <w:spacing w:line="245" w:lineRule="auto"/>
      </w:pPr>
    </w:p>
    <w:p w14:paraId="2F2CB3A6">
      <w:pPr>
        <w:spacing w:before="101" w:line="222" w:lineRule="auto"/>
        <w:ind w:left="1485"/>
        <w:rPr>
          <w:rFonts w:hint="eastAsia" w:ascii="仿宋" w:hAnsi="仿宋" w:eastAsia="仿宋" w:cs="仿宋"/>
          <w:sz w:val="31"/>
          <w:szCs w:val="31"/>
          <w:lang w:val="en-US" w:eastAsia="zh-CN"/>
        </w:rPr>
      </w:pPr>
      <w:r>
        <w:rPr>
          <w:rFonts w:ascii="仿宋" w:hAnsi="仿宋" w:eastAsia="仿宋" w:cs="仿宋"/>
          <w:spacing w:val="18"/>
          <w:sz w:val="31"/>
          <w:szCs w:val="31"/>
        </w:rPr>
        <w:t>甲方(采购人):</w:t>
      </w:r>
    </w:p>
    <w:p w14:paraId="141FB9CF">
      <w:pPr>
        <w:spacing w:before="297" w:line="222" w:lineRule="auto"/>
        <w:ind w:left="148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1"/>
          <w:sz w:val="31"/>
          <w:szCs w:val="31"/>
        </w:rPr>
        <w:t>乙方(供应商):</w:t>
      </w:r>
      <w:r>
        <w:rPr>
          <w:rFonts w:ascii="仿宋" w:hAnsi="仿宋" w:eastAsia="仿宋" w:cs="仿宋"/>
          <w:spacing w:val="-16"/>
          <w:sz w:val="31"/>
          <w:szCs w:val="31"/>
        </w:rPr>
        <w:t xml:space="preserve"> </w:t>
      </w:r>
    </w:p>
    <w:p w14:paraId="19B279D4">
      <w:pPr>
        <w:spacing w:before="239" w:line="222" w:lineRule="auto"/>
        <w:ind w:left="148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4"/>
          <w:sz w:val="31"/>
          <w:szCs w:val="31"/>
        </w:rPr>
        <w:t>签</w:t>
      </w:r>
      <w:r>
        <w:rPr>
          <w:rFonts w:ascii="仿宋" w:hAnsi="仿宋" w:eastAsia="仿宋" w:cs="仿宋"/>
          <w:spacing w:val="10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4"/>
          <w:sz w:val="31"/>
          <w:szCs w:val="31"/>
        </w:rPr>
        <w:t>订</w:t>
      </w:r>
      <w:r>
        <w:rPr>
          <w:rFonts w:ascii="仿宋" w:hAnsi="仿宋" w:eastAsia="仿宋" w:cs="仿宋"/>
          <w:spacing w:val="1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4"/>
          <w:sz w:val="31"/>
          <w:szCs w:val="31"/>
        </w:rPr>
        <w:t>时</w:t>
      </w:r>
      <w:r>
        <w:rPr>
          <w:rFonts w:ascii="仿宋" w:hAnsi="仿宋" w:eastAsia="仿宋" w:cs="仿宋"/>
          <w:spacing w:val="1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4"/>
          <w:sz w:val="31"/>
          <w:szCs w:val="31"/>
        </w:rPr>
        <w:t>间</w:t>
      </w:r>
      <w:r>
        <w:rPr>
          <w:rFonts w:ascii="仿宋" w:hAnsi="仿宋" w:eastAsia="仿宋" w:cs="仿宋"/>
          <w:spacing w:val="1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4"/>
          <w:sz w:val="31"/>
          <w:szCs w:val="31"/>
        </w:rPr>
        <w:t>：</w:t>
      </w:r>
      <w:r>
        <w:rPr>
          <w:rFonts w:ascii="仿宋" w:hAnsi="仿宋" w:eastAsia="仿宋" w:cs="仿宋"/>
          <w:spacing w:val="105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-139"/>
          <w:sz w:val="31"/>
          <w:szCs w:val="31"/>
          <w:u w:val="single" w:color="auto"/>
        </w:rPr>
        <w:t xml:space="preserve"> </w:t>
      </w:r>
      <w:r>
        <w:rPr>
          <w:rFonts w:ascii="仿宋" w:hAnsi="仿宋" w:eastAsia="仿宋" w:cs="仿宋"/>
          <w:spacing w:val="-24"/>
          <w:sz w:val="31"/>
          <w:szCs w:val="31"/>
        </w:rPr>
        <w:t>年</w:t>
      </w:r>
      <w:r>
        <w:rPr>
          <w:rFonts w:hint="eastAsia" w:ascii="仿宋" w:hAnsi="仿宋" w:eastAsia="仿宋" w:cs="仿宋"/>
          <w:spacing w:val="-24"/>
          <w:sz w:val="31"/>
          <w:szCs w:val="31"/>
          <w:lang w:val="en-US" w:eastAsia="zh-CN"/>
        </w:rPr>
        <w:t xml:space="preserve">  </w:t>
      </w:r>
      <w:r>
        <w:rPr>
          <w:rFonts w:ascii="仿宋" w:hAnsi="仿宋" w:eastAsia="仿宋" w:cs="仿宋"/>
          <w:spacing w:val="-24"/>
          <w:sz w:val="31"/>
          <w:szCs w:val="31"/>
        </w:rPr>
        <w:t>月</w:t>
      </w:r>
      <w:r>
        <w:rPr>
          <w:rFonts w:hint="eastAsia" w:ascii="仿宋" w:hAnsi="仿宋" w:eastAsia="仿宋" w:cs="仿宋"/>
          <w:spacing w:val="-125"/>
          <w:sz w:val="31"/>
          <w:szCs w:val="31"/>
          <w:lang w:val="en-US" w:eastAsia="zh-CN"/>
        </w:rPr>
        <w:t xml:space="preserve"> </w:t>
      </w:r>
      <w:r>
        <w:rPr>
          <w:rFonts w:ascii="宋体" w:hAnsi="宋体" w:eastAsia="宋体" w:cs="宋体"/>
          <w:spacing w:val="-144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spacing w:val="-144"/>
          <w:sz w:val="31"/>
          <w:szCs w:val="31"/>
          <w:lang w:val="en-US" w:eastAsia="zh-CN"/>
        </w:rPr>
        <w:t xml:space="preserve">                     </w:t>
      </w:r>
      <w:r>
        <w:rPr>
          <w:rFonts w:ascii="仿宋" w:hAnsi="仿宋" w:eastAsia="仿宋" w:cs="仿宋"/>
          <w:spacing w:val="-24"/>
          <w:sz w:val="31"/>
          <w:szCs w:val="31"/>
        </w:rPr>
        <w:t>日</w:t>
      </w:r>
    </w:p>
    <w:p w14:paraId="37A0B2B2">
      <w:pPr>
        <w:spacing w:line="222" w:lineRule="auto"/>
        <w:rPr>
          <w:rFonts w:ascii="仿宋" w:hAnsi="仿宋" w:eastAsia="仿宋" w:cs="仿宋"/>
          <w:sz w:val="31"/>
          <w:szCs w:val="31"/>
        </w:rPr>
        <w:sectPr>
          <w:footerReference r:id="rId5" w:type="default"/>
          <w:pgSz w:w="11900" w:h="16840"/>
          <w:pgMar w:top="1431" w:right="1785" w:bottom="1266" w:left="1785" w:header="0" w:footer="1139" w:gutter="0"/>
          <w:cols w:space="720" w:num="1"/>
        </w:sectPr>
      </w:pPr>
    </w:p>
    <w:p w14:paraId="41077BD0">
      <w:pPr>
        <w:spacing w:before="88" w:line="223" w:lineRule="auto"/>
        <w:ind w:left="2916"/>
        <w:rPr>
          <w:rFonts w:ascii="仿宋" w:hAnsi="仿宋" w:eastAsia="仿宋" w:cs="仿宋"/>
          <w:sz w:val="43"/>
          <w:szCs w:val="43"/>
        </w:rPr>
      </w:pPr>
      <w:r>
        <w:rPr>
          <w:rFonts w:ascii="仿宋" w:hAnsi="仿宋" w:eastAsia="仿宋" w:cs="仿宋"/>
          <w:b/>
          <w:bCs/>
          <w:spacing w:val="-1"/>
          <w:sz w:val="43"/>
          <w:szCs w:val="43"/>
        </w:rPr>
        <w:t>合同主要条款</w:t>
      </w:r>
    </w:p>
    <w:p w14:paraId="0EE5E9B3">
      <w:pPr>
        <w:spacing w:before="197" w:line="222" w:lineRule="auto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-4"/>
          <w:sz w:val="27"/>
          <w:szCs w:val="27"/>
        </w:rPr>
        <w:t>甲方(采购人):</w:t>
      </w:r>
      <w:r>
        <w:rPr>
          <w:rFonts w:ascii="仿宋" w:hAnsi="仿宋" w:eastAsia="仿宋" w:cs="仿宋"/>
          <w:spacing w:val="-108"/>
          <w:sz w:val="27"/>
          <w:szCs w:val="27"/>
        </w:rPr>
        <w:t xml:space="preserve"> </w:t>
      </w:r>
      <w:r>
        <w:rPr>
          <w:rFonts w:ascii="仿宋" w:hAnsi="仿宋" w:eastAsia="仿宋" w:cs="仿宋"/>
          <w:spacing w:val="-110"/>
          <w:sz w:val="27"/>
          <w:szCs w:val="27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4"/>
          <w:sz w:val="27"/>
          <w:szCs w:val="27"/>
          <w:u w:val="single" w:color="auto"/>
          <w:lang w:val="en-US" w:eastAsia="zh-CN"/>
        </w:rPr>
        <w:t xml:space="preserve">                                  </w:t>
      </w:r>
      <w:r>
        <w:rPr>
          <w:rFonts w:ascii="仿宋" w:hAnsi="仿宋" w:eastAsia="仿宋" w:cs="仿宋"/>
          <w:sz w:val="27"/>
          <w:szCs w:val="27"/>
          <w:u w:val="single" w:color="auto"/>
        </w:rPr>
        <w:t xml:space="preserve">  </w:t>
      </w:r>
    </w:p>
    <w:p w14:paraId="5B91517D">
      <w:pPr>
        <w:spacing w:before="195" w:line="222" w:lineRule="auto"/>
        <w:rPr>
          <w:rFonts w:hint="default" w:ascii="仿宋" w:hAnsi="仿宋" w:eastAsia="仿宋" w:cs="仿宋"/>
          <w:sz w:val="27"/>
          <w:szCs w:val="27"/>
          <w:lang w:val="en-US" w:eastAsia="zh-CN"/>
        </w:rPr>
      </w:pPr>
      <w:r>
        <w:rPr>
          <w:rFonts w:ascii="仿宋" w:hAnsi="仿宋" w:eastAsia="仿宋" w:cs="仿宋"/>
          <w:spacing w:val="17"/>
          <w:sz w:val="27"/>
          <w:szCs w:val="27"/>
        </w:rPr>
        <w:t>乙方(供应商):</w:t>
      </w:r>
      <w:r>
        <w:rPr>
          <w:rFonts w:hint="eastAsia" w:ascii="仿宋" w:hAnsi="仿宋" w:eastAsia="仿宋" w:cs="仿宋"/>
          <w:spacing w:val="17"/>
          <w:sz w:val="27"/>
          <w:szCs w:val="27"/>
          <w:u w:val="single" w:color="auto"/>
          <w:lang w:val="en-US" w:eastAsia="zh-CN"/>
        </w:rPr>
        <w:t xml:space="preserve">                              </w:t>
      </w:r>
    </w:p>
    <w:p w14:paraId="0B30DB0E">
      <w:pPr>
        <w:spacing w:before="216" w:line="377" w:lineRule="auto"/>
        <w:ind w:right="307" w:firstLine="649"/>
        <w:jc w:val="both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spacing w:val="5"/>
          <w:sz w:val="27"/>
          <w:szCs w:val="27"/>
        </w:rPr>
        <w:t>甲、乙双方根据</w:t>
      </w:r>
      <w:r>
        <w:rPr>
          <w:rFonts w:hint="eastAsia" w:ascii="仿宋" w:hAnsi="仿宋" w:eastAsia="仿宋" w:cs="仿宋"/>
          <w:spacing w:val="5"/>
          <w:sz w:val="27"/>
          <w:szCs w:val="27"/>
          <w:lang w:eastAsia="zh-CN"/>
        </w:rPr>
        <w:t>合阳县消防救援大队食堂原材料配送服务项目</w:t>
      </w:r>
      <w:r>
        <w:rPr>
          <w:rFonts w:ascii="仿宋" w:hAnsi="仿宋" w:eastAsia="仿宋" w:cs="仿宋"/>
          <w:spacing w:val="6"/>
          <w:sz w:val="27"/>
          <w:szCs w:val="27"/>
        </w:rPr>
        <w:t>采购结果及相关采购文件及响应文件，本合同经双方</w:t>
      </w:r>
      <w:r>
        <w:rPr>
          <w:rFonts w:ascii="仿宋" w:hAnsi="仿宋" w:eastAsia="仿宋" w:cs="仿宋"/>
          <w:spacing w:val="7"/>
          <w:sz w:val="27"/>
          <w:szCs w:val="27"/>
        </w:rPr>
        <w:t>友好协商平等、诚信、协作的原则，按照《中</w:t>
      </w:r>
      <w:r>
        <w:rPr>
          <w:rFonts w:ascii="仿宋" w:hAnsi="仿宋" w:eastAsia="仿宋" w:cs="仿宋"/>
          <w:spacing w:val="6"/>
          <w:sz w:val="27"/>
          <w:szCs w:val="27"/>
        </w:rPr>
        <w:t>华人民共和国政府采购</w:t>
      </w:r>
      <w:r>
        <w:rPr>
          <w:rFonts w:ascii="仿宋" w:hAnsi="仿宋" w:eastAsia="仿宋" w:cs="仿宋"/>
          <w:spacing w:val="11"/>
          <w:sz w:val="27"/>
          <w:szCs w:val="27"/>
        </w:rPr>
        <w:t>法》和《中华人民共和国民法典》,经协商一致，订立本合同，供双</w:t>
      </w:r>
      <w:r>
        <w:rPr>
          <w:rFonts w:ascii="仿宋" w:hAnsi="仿宋" w:eastAsia="仿宋" w:cs="仿宋"/>
          <w:sz w:val="27"/>
          <w:szCs w:val="27"/>
        </w:rPr>
        <w:t>方共同遵守：</w:t>
      </w:r>
    </w:p>
    <w:p w14:paraId="164215F5">
      <w:pPr>
        <w:spacing w:before="10" w:line="222" w:lineRule="auto"/>
        <w:ind w:left="653"/>
        <w:outlineLvl w:val="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-1"/>
          <w:sz w:val="27"/>
          <w:szCs w:val="27"/>
        </w:rPr>
        <w:t>第</w:t>
      </w:r>
      <w:r>
        <w:rPr>
          <w:rFonts w:ascii="仿宋" w:hAnsi="仿宋" w:eastAsia="仿宋" w:cs="仿宋"/>
          <w:spacing w:val="-71"/>
          <w:sz w:val="27"/>
          <w:szCs w:val="27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27"/>
          <w:szCs w:val="27"/>
        </w:rPr>
        <w:t>一</w:t>
      </w:r>
      <w:r>
        <w:rPr>
          <w:rFonts w:ascii="仿宋" w:hAnsi="仿宋" w:eastAsia="仿宋" w:cs="仿宋"/>
          <w:spacing w:val="-78"/>
          <w:sz w:val="27"/>
          <w:szCs w:val="27"/>
        </w:rPr>
        <w:t xml:space="preserve"> </w:t>
      </w:r>
      <w:r>
        <w:rPr>
          <w:rFonts w:ascii="仿宋" w:hAnsi="仿宋" w:eastAsia="仿宋" w:cs="仿宋"/>
          <w:b/>
          <w:bCs/>
          <w:spacing w:val="-1"/>
          <w:sz w:val="27"/>
          <w:szCs w:val="27"/>
        </w:rPr>
        <w:t>条</w:t>
      </w:r>
      <w:r>
        <w:rPr>
          <w:rFonts w:ascii="仿宋" w:hAnsi="仿宋" w:eastAsia="仿宋" w:cs="仿宋"/>
          <w:spacing w:val="-1"/>
          <w:sz w:val="27"/>
          <w:szCs w:val="27"/>
        </w:rPr>
        <w:t xml:space="preserve">  </w:t>
      </w:r>
      <w:r>
        <w:rPr>
          <w:rFonts w:ascii="仿宋" w:hAnsi="仿宋" w:eastAsia="仿宋" w:cs="仿宋"/>
          <w:b/>
          <w:bCs/>
          <w:spacing w:val="-1"/>
          <w:sz w:val="27"/>
          <w:szCs w:val="27"/>
        </w:rPr>
        <w:t>合同约定的内容</w:t>
      </w:r>
    </w:p>
    <w:p w14:paraId="4E4DE8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1、服务内容：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合阳县消防救援大队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食堂原材料配送服务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项目</w:t>
      </w:r>
    </w:p>
    <w:p w14:paraId="057163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2、产品包括但不限于：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粮食类、蔬菜类、鲜肉类、禽蛋类、水产海鲜类、干货豆制品类、调味品调料类、冻品及半成品类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。</w:t>
      </w:r>
    </w:p>
    <w:p w14:paraId="2B77365D">
      <w:pPr>
        <w:spacing w:before="218" w:line="222" w:lineRule="auto"/>
        <w:ind w:left="653"/>
        <w:outlineLvl w:val="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10"/>
          <w:sz w:val="27"/>
          <w:szCs w:val="27"/>
        </w:rPr>
        <w:t>第二条</w:t>
      </w:r>
      <w:r>
        <w:rPr>
          <w:rFonts w:ascii="仿宋" w:hAnsi="仿宋" w:eastAsia="仿宋" w:cs="仿宋"/>
          <w:spacing w:val="5"/>
          <w:sz w:val="27"/>
          <w:szCs w:val="27"/>
        </w:rPr>
        <w:t xml:space="preserve">  </w:t>
      </w:r>
      <w:r>
        <w:rPr>
          <w:rFonts w:ascii="仿宋" w:hAnsi="仿宋" w:eastAsia="仿宋" w:cs="仿宋"/>
          <w:b/>
          <w:bCs/>
          <w:spacing w:val="10"/>
          <w:sz w:val="27"/>
          <w:szCs w:val="27"/>
        </w:rPr>
        <w:t>合同金额</w:t>
      </w:r>
    </w:p>
    <w:p w14:paraId="771FB5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本合同为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下浮率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合同，合同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下浮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率为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%</w:t>
      </w:r>
    </w:p>
    <w:p w14:paraId="40C019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合同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下浮率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即成交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下浮率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 xml:space="preserve">，为一次性报价，不受市场价变化或实 际工作量变化的影响。合同价格为含税价，包括但不限于以下内容： 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zh-TW"/>
        </w:rPr>
        <w:t>人工费、食材费、运输费、仓储费、装卸费、设备车辆配置费、招标代理服务费、利润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zh-TW" w:eastAsia="zh-CN"/>
        </w:rPr>
        <w:t>、税金、保险、验收等所需的全部费用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。</w:t>
      </w:r>
    </w:p>
    <w:p w14:paraId="63D6C081">
      <w:pPr>
        <w:spacing w:before="218" w:line="222" w:lineRule="auto"/>
        <w:ind w:left="653"/>
        <w:outlineLvl w:val="3"/>
        <w:rPr>
          <w:rFonts w:hint="eastAsia" w:ascii="仿宋" w:hAnsi="仿宋" w:eastAsia="仿宋" w:cs="仿宋"/>
          <w:b/>
          <w:bCs/>
          <w:spacing w:val="5"/>
          <w:sz w:val="27"/>
          <w:szCs w:val="27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5"/>
          <w:sz w:val="27"/>
          <w:szCs w:val="27"/>
          <w:lang w:eastAsia="zh-CN"/>
        </w:rPr>
        <w:t>第三条  配送食品的内容及标准</w:t>
      </w:r>
    </w:p>
    <w:bookmarkEnd w:id="0"/>
    <w:p w14:paraId="47C723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（一）粮食类</w:t>
      </w:r>
    </w:p>
    <w:p w14:paraId="3B8423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1. 大米：符合 GB/T 1354-2018 一级，新米，无霉变、无异味、无虫蛀。</w:t>
      </w:r>
    </w:p>
    <w:p w14:paraId="1BB6A5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2. 面粉：符合 GB/T 1355 特一粉，无结块、无异味。</w:t>
      </w:r>
    </w:p>
    <w:p w14:paraId="73656C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3. 食用油：符合国家食用油标准，包装完好，在保质期内。</w:t>
      </w:r>
    </w:p>
    <w:p w14:paraId="326364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4. 杂粮：干燥、无霉变、无虫蛀、无杂质。</w:t>
      </w:r>
    </w:p>
    <w:p w14:paraId="7EE12B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（二）蔬菜类</w:t>
      </w:r>
    </w:p>
    <w:p w14:paraId="3D6778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1. 符合 GB 2762、GB 2763 食品安全标准。</w:t>
      </w:r>
    </w:p>
    <w:p w14:paraId="10E2AB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2. 新鲜、无腐烂、无萎蔫、无病虫害、无泥沙。</w:t>
      </w:r>
    </w:p>
    <w:p w14:paraId="108734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3. 禁止供应发芽/青皮土豆、变质及农残超标蔬菜。</w:t>
      </w:r>
    </w:p>
    <w:p w14:paraId="3FF5D0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4. 叶菜净菜率≥90%，其他≥95%。</w:t>
      </w:r>
    </w:p>
    <w:p w14:paraId="573FD1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）鲜肉类</w:t>
      </w:r>
    </w:p>
    <w:p w14:paraId="092CA2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1. 来自正规屠宰企业，具备检疫合格证明、肉品检验合格章。</w:t>
      </w:r>
    </w:p>
    <w:p w14:paraId="36C0CB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2. 新鲜或冷鲜，无注水、无淤血、无异味、无病变。</w:t>
      </w:r>
    </w:p>
    <w:p w14:paraId="7FCA64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3. 冷链运输，温度符合要求。</w:t>
      </w:r>
    </w:p>
    <w:p w14:paraId="27FC1B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 xml:space="preserve"> 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）禽蛋类</w:t>
      </w:r>
    </w:p>
    <w:p w14:paraId="3ADF71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1. 禽肉：证件齐全、新鲜、无病变、无异味。</w:t>
      </w:r>
    </w:p>
    <w:p w14:paraId="7877A9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2. 鲜蛋：蛋壳完整、清洁、无裂纹、无散黄、无污染。</w:t>
      </w:r>
    </w:p>
    <w:p w14:paraId="7BFF0F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 xml:space="preserve"> 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）水产海鲜类</w:t>
      </w:r>
    </w:p>
    <w:p w14:paraId="32CCFA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1. 鲜活水产活力强，冰鲜/冷冻产品无变质、无异味。</w:t>
      </w:r>
    </w:p>
    <w:p w14:paraId="23E1AD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2. 来源可追溯，符合食品安全要求。</w:t>
      </w:r>
    </w:p>
    <w:p w14:paraId="5DB84C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 xml:space="preserve"> 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）干货豆制品类</w:t>
      </w:r>
    </w:p>
    <w:p w14:paraId="2C80C0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1. 干货：干燥、无霉变、无虫蛀、无硫磺熏制。</w:t>
      </w:r>
    </w:p>
    <w:p w14:paraId="25E80F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2. 豆制品：新鲜、无酸味、无变质，当日优先。</w:t>
      </w:r>
    </w:p>
    <w:p w14:paraId="1BAF98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 xml:space="preserve"> 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）调味品调料类</w:t>
      </w:r>
    </w:p>
    <w:p w14:paraId="4CE5CE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1. 正规厂家生产，SC认证齐全。</w:t>
      </w:r>
    </w:p>
    <w:p w14:paraId="6BE687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2. 包装完好，在保质期内，无渗漏、无变质。</w:t>
      </w:r>
    </w:p>
    <w:p w14:paraId="76D331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 xml:space="preserve"> 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）冻品及半成品类</w:t>
      </w:r>
    </w:p>
    <w:p w14:paraId="1D577F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1. 冷链储存配送，无反复解冻、无风干氧化。</w:t>
      </w:r>
    </w:p>
    <w:p w14:paraId="1D0982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2. 证件齐全，在保质期内，包装完好。</w:t>
      </w:r>
    </w:p>
    <w:p w14:paraId="6C3F0C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注：以上食材标准有更新的或其他未明确的原材料采购标准，按国家最新的相关标准执行。</w:t>
      </w:r>
    </w:p>
    <w:p w14:paraId="5063A5DA">
      <w:pPr>
        <w:spacing w:before="7" w:line="222" w:lineRule="auto"/>
        <w:ind w:left="763"/>
        <w:outlineLvl w:val="3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b/>
          <w:bCs/>
          <w:spacing w:val="5"/>
          <w:sz w:val="26"/>
          <w:szCs w:val="26"/>
        </w:rPr>
        <w:t>第四条</w:t>
      </w:r>
      <w:r>
        <w:rPr>
          <w:rFonts w:ascii="仿宋" w:hAnsi="仿宋" w:eastAsia="仿宋" w:cs="仿宋"/>
          <w:spacing w:val="128"/>
          <w:sz w:val="26"/>
          <w:szCs w:val="26"/>
        </w:rPr>
        <w:t xml:space="preserve"> </w:t>
      </w:r>
      <w:r>
        <w:rPr>
          <w:rFonts w:ascii="仿宋" w:hAnsi="仿宋" w:eastAsia="仿宋" w:cs="仿宋"/>
          <w:b/>
          <w:bCs/>
          <w:spacing w:val="5"/>
          <w:sz w:val="26"/>
          <w:szCs w:val="26"/>
        </w:rPr>
        <w:t>配送要求</w:t>
      </w:r>
    </w:p>
    <w:p w14:paraId="4821B9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配送价格的过程中，根据蔬菜行业的各种特殊性，要采取随行就市的原则定期报价。</w:t>
      </w:r>
    </w:p>
    <w:p w14:paraId="68DCAD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配送公司要在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规定的时间内把蔬菜食品运至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食堂，以保障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食堂的正常运行。</w:t>
      </w:r>
    </w:p>
    <w:p w14:paraId="2B137F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注重农产品质量，通过配送使健康绿色蔬菜及时送到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采购人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食堂，让职工能轻松体验健康蔬菜食品。</w:t>
      </w:r>
    </w:p>
    <w:p w14:paraId="4CBC8E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46" w:firstLineChars="200"/>
        <w:textAlignment w:val="auto"/>
        <w:outlineLvl w:val="9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b/>
          <w:bCs/>
          <w:spacing w:val="6"/>
          <w:sz w:val="26"/>
          <w:szCs w:val="26"/>
        </w:rPr>
        <w:t>第五条</w:t>
      </w:r>
      <w:r>
        <w:rPr>
          <w:rFonts w:ascii="仿宋" w:hAnsi="仿宋" w:eastAsia="仿宋" w:cs="仿宋"/>
          <w:spacing w:val="6"/>
          <w:sz w:val="26"/>
          <w:szCs w:val="26"/>
        </w:rPr>
        <w:t xml:space="preserve">  </w:t>
      </w:r>
      <w:r>
        <w:rPr>
          <w:rFonts w:ascii="仿宋" w:hAnsi="仿宋" w:eastAsia="仿宋" w:cs="仿宋"/>
          <w:b/>
          <w:bCs/>
          <w:spacing w:val="6"/>
          <w:sz w:val="26"/>
          <w:szCs w:val="26"/>
        </w:rPr>
        <w:t>配送基本情况</w:t>
      </w:r>
    </w:p>
    <w:p w14:paraId="026EDD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餐厅供应模式为早、午、晚分段供应；用餐人数约    人。早餐 品种为4种以上凉菜及主、副食等；午餐为4种以上热菜，配主食、面 食、水果等；晚餐不少于3种热菜配主食等。供应商负责日常餐厅原 材料的采购和配送，保证消防大队餐厅正常开餐，保障本单位应对突 发事件和应急备勤时期的原材料供给。</w:t>
      </w:r>
    </w:p>
    <w:p w14:paraId="118686F4">
      <w:pPr>
        <w:spacing w:before="11" w:line="222" w:lineRule="auto"/>
        <w:ind w:left="583"/>
        <w:outlineLvl w:val="3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b/>
          <w:bCs/>
          <w:spacing w:val="7"/>
          <w:sz w:val="26"/>
          <w:szCs w:val="26"/>
        </w:rPr>
        <w:t>第六条</w:t>
      </w:r>
      <w:r>
        <w:rPr>
          <w:rFonts w:ascii="仿宋" w:hAnsi="仿宋" w:eastAsia="仿宋" w:cs="仿宋"/>
          <w:spacing w:val="109"/>
          <w:sz w:val="26"/>
          <w:szCs w:val="26"/>
        </w:rPr>
        <w:t xml:space="preserve"> </w:t>
      </w:r>
      <w:r>
        <w:rPr>
          <w:rFonts w:ascii="仿宋" w:hAnsi="仿宋" w:eastAsia="仿宋" w:cs="仿宋"/>
          <w:b/>
          <w:bCs/>
          <w:spacing w:val="7"/>
          <w:sz w:val="26"/>
          <w:szCs w:val="26"/>
        </w:rPr>
        <w:t>交付和验收</w:t>
      </w:r>
    </w:p>
    <w:p w14:paraId="3E0567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1、服务期限：合同签订之日起一年。</w:t>
      </w:r>
    </w:p>
    <w:p w14:paraId="262F4E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2、服务地点：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采购人指定地点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。</w:t>
      </w:r>
    </w:p>
    <w:p w14:paraId="6966BE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3、验收标准：符合《中华人民共和国食品安全法》、国家法律 法规规定的标准、食品卫生管理制度、甲方要求、采购文件和乙方响 应文件所要求的技术标准。</w:t>
      </w:r>
    </w:p>
    <w:p w14:paraId="40089B3A">
      <w:pPr>
        <w:spacing w:before="202" w:line="222" w:lineRule="auto"/>
        <w:ind w:left="583"/>
        <w:outlineLvl w:val="3"/>
        <w:rPr>
          <w:rFonts w:ascii="仿宋" w:hAnsi="仿宋" w:eastAsia="仿宋" w:cs="仿宋"/>
          <w:sz w:val="26"/>
          <w:szCs w:val="26"/>
        </w:rPr>
      </w:pPr>
      <w:r>
        <w:rPr>
          <w:rFonts w:ascii="仿宋" w:hAnsi="仿宋" w:eastAsia="仿宋" w:cs="仿宋"/>
          <w:b/>
          <w:bCs/>
          <w:sz w:val="26"/>
          <w:szCs w:val="26"/>
        </w:rPr>
        <w:t>第七条</w:t>
      </w:r>
      <w:r>
        <w:rPr>
          <w:rFonts w:ascii="仿宋" w:hAnsi="仿宋" w:eastAsia="仿宋" w:cs="仿宋"/>
          <w:spacing w:val="118"/>
          <w:sz w:val="26"/>
          <w:szCs w:val="26"/>
        </w:rPr>
        <w:t xml:space="preserve"> </w:t>
      </w:r>
      <w:r>
        <w:rPr>
          <w:rFonts w:ascii="仿宋" w:hAnsi="仿宋" w:eastAsia="仿宋" w:cs="仿宋"/>
          <w:b/>
          <w:bCs/>
          <w:sz w:val="26"/>
          <w:szCs w:val="26"/>
        </w:rPr>
        <w:t>结算方式</w:t>
      </w:r>
    </w:p>
    <w:p w14:paraId="5E9EF5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1、结账方式为月结方式，每月1—10日完成上月结账且年度总额 不超出审批的采购预算。在付款前，乙方必须开具增值税普通发票给 甲方 。</w:t>
      </w:r>
    </w:p>
    <w:p w14:paraId="515B2F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2、定价方式：由甲方指定超市，按照超市本月相同菜品价格平 均价*(1-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下浮率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)结算，超市无相同菜品的，由甲方在农贸市场确认的菜品价格*(1-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eastAsia="zh-CN"/>
        </w:rPr>
        <w:t>下浮率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)结算，具体以签订合同为主。</w:t>
      </w:r>
    </w:p>
    <w:p w14:paraId="678AC7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注：当结算总金额高于本项目预算金额时，以本项目预算金额作 为结算金额，当结算总金额低于本项目预算金额时，按实结算。</w:t>
      </w:r>
    </w:p>
    <w:p w14:paraId="7C4614BB">
      <w:pPr>
        <w:spacing w:before="202" w:line="222" w:lineRule="auto"/>
        <w:ind w:left="583"/>
        <w:outlineLvl w:val="3"/>
        <w:rPr>
          <w:rFonts w:hint="eastAsia" w:ascii="仿宋" w:hAnsi="仿宋" w:eastAsia="仿宋" w:cs="仿宋"/>
          <w:b/>
          <w:bCs/>
          <w:sz w:val="26"/>
          <w:szCs w:val="26"/>
        </w:rPr>
      </w:pPr>
      <w:r>
        <w:rPr>
          <w:rFonts w:hint="eastAsia" w:ascii="仿宋" w:hAnsi="仿宋" w:eastAsia="仿宋" w:cs="仿宋"/>
          <w:b/>
          <w:bCs/>
          <w:sz w:val="26"/>
          <w:szCs w:val="26"/>
        </w:rPr>
        <w:t>第八条  甲乙双方的权利、义务</w:t>
      </w:r>
    </w:p>
    <w:p w14:paraId="22A399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( 一 )甲方：</w:t>
      </w:r>
    </w:p>
    <w:p w14:paraId="2AFA4A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1、甲方有权监督乙方工作执行情况并进行评估考核。如：食品 配送品质、数量、卫生、服务等情况、安全设施有效情况、乙方的设 备、器具安全卫生等情况进行监督检查，特别是食物中毒事故预防。 一旦发生食物中毒事故或乙方提供的食材未达到合格标准，甲方有权 要求乙方进行整改和完善。逾期未整改的，甲方有权按照甲方相关规 定对乙方进行经济处罚。</w:t>
      </w:r>
    </w:p>
    <w:p w14:paraId="363440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2、甲方有权向乙方提出合理化建议，乙方应予以采纳；</w:t>
      </w:r>
    </w:p>
    <w:p w14:paraId="0D5CE8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3、甲方有权根据市场原材料价格调查情况核实乙方供应原材料 的价格明细，若经核实乙方供应价格高于市场价格，甲方有权要求乙 方进行整改。</w:t>
      </w:r>
    </w:p>
    <w:p w14:paraId="475DB9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(二)乙方：</w:t>
      </w:r>
    </w:p>
    <w:p w14:paraId="46C5D6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1、乙方所指派的项目负责人，在合同履行中未经甲方同意不得 擅自更换他人。</w:t>
      </w:r>
    </w:p>
    <w:p w14:paraId="0BB0B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default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 xml:space="preserve">乙方项目负责人： 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联系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电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话 ：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 xml:space="preserve">           </w:t>
      </w:r>
    </w:p>
    <w:p w14:paraId="71E5A0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2、乙方必须持有有效的食品经营许可证，并按照有效期限及时</w:t>
      </w:r>
    </w:p>
    <w:p w14:paraId="0D1597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审验。</w:t>
      </w:r>
    </w:p>
    <w:p w14:paraId="63FC43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3、乙方从业人员必须定期体检，持有效的健康证上岗操作。对 因乙方未组织所属人员体检，携带传染性疾病上岗操作，导致甲方人 员发生传染病事件，乙方负责承担全部责任。</w:t>
      </w:r>
    </w:p>
    <w:p w14:paraId="4A538C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4、乙方必须遵守国家和地方有关安全、环境和食品卫生的标准。 严格执行机关厨房的相关安全管理制度、安全操作规程，并认真执行。 同时对所属人员进行经常性的职业道德、食品安全卫生、安全规章等  安全知识培训。采取有效措施做好各类事故预防工作。</w:t>
      </w:r>
    </w:p>
    <w:p w14:paraId="5D9E355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5、乙方购置主、副食等食用品及调料制品必须保证其产品质量，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6298565</wp:posOffset>
            </wp:positionH>
            <wp:positionV relativeFrom="paragraph">
              <wp:posOffset>734060</wp:posOffset>
            </wp:positionV>
            <wp:extent cx="197485" cy="145415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7215" cy="14542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严禁购置腐烂、变质、过期的产品。特别肉类制品必须向甲方提交合 格的卫生检疫证明，以备卫生检疫部门检查。对由于乙方提供不符合 食品卫生标准的劣质食品，或出售任何变质和受污染的食</w:t>
      </w:r>
    </w:p>
    <w:p w14:paraId="574A96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品，造成甲方人员食物中毒的，乙方承担全部责任，所产生的费用均由乙方承担。</w:t>
      </w:r>
    </w:p>
    <w:p w14:paraId="4B81D7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6、乙方配送食品原材料，必须规范食品安全卫生管理，严格按 照甲方食品质量验收标准配置商品，不得掺杂使假。</w:t>
      </w:r>
    </w:p>
    <w:p w14:paraId="173DFB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7、乙方应认真落实防蚊、蝇、鼠害等安全措施，做好防疫工作， 避免疾病，传染病的传播。</w:t>
      </w:r>
    </w:p>
    <w:p w14:paraId="2A4F49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8、乙方为甲方提供服务时，应识别活动场所可能发生的环境因 素和危险源，按甲方的要求实施管理、检查和控制。</w:t>
      </w:r>
    </w:p>
    <w:p w14:paraId="48B0F6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9、对乙方的储运、服务人员，乙方应进行必要的环境保护知识 和职业健康安全的培训，保证储运、服务人员熟知在工作中，如因工 作失误将对环境、职业健康安全造成的不良影响，以及一旦污染事故 发生，如何采取应急措施，减少污染。</w:t>
      </w:r>
    </w:p>
    <w:p w14:paraId="1254BA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10、对于甲方的安全监督检查，乙方必须密切配合。</w:t>
      </w:r>
    </w:p>
    <w:p w14:paraId="20C658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11、因乙方原因造成的失误、乙方作出违约行为或乙方工作未通 过甲方考核的，但并不影响项目的继续进行，每次扣除合同金额的1%, 并继续履行本合同。</w:t>
      </w:r>
    </w:p>
    <w:p w14:paraId="46A290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12、如因乙方原因，对甲方造成经济损失或不良社会影响，乙方 负责消除不良影响并自行承担由此发生的费用，甲方有权视情况终止 合同，乙方有义务承担赔偿责任。</w:t>
      </w:r>
    </w:p>
    <w:p w14:paraId="5659DA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13、乙方所有食材在运输、装卸、搬运的过程中，造成甲方损失</w:t>
      </w:r>
    </w:p>
    <w:p w14:paraId="10E7E5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的，由乙方负责。</w:t>
      </w:r>
    </w:p>
    <w:p w14:paraId="359F50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14、乙方保证食材安全、按时运输到甲方指定交货地点，在交付 甲方之前发生的不可预见的风险由乙方承担。</w:t>
      </w:r>
    </w:p>
    <w:p w14:paraId="285707F3">
      <w:pPr>
        <w:spacing w:before="164" w:line="222" w:lineRule="auto"/>
        <w:ind w:left="533"/>
        <w:outlineLvl w:val="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15"/>
          <w:sz w:val="27"/>
          <w:szCs w:val="27"/>
        </w:rPr>
        <w:t>第九条</w:t>
      </w:r>
      <w:r>
        <w:rPr>
          <w:rFonts w:ascii="仿宋" w:hAnsi="仿宋" w:eastAsia="仿宋" w:cs="仿宋"/>
          <w:spacing w:val="123"/>
          <w:sz w:val="27"/>
          <w:szCs w:val="27"/>
        </w:rPr>
        <w:t xml:space="preserve"> </w:t>
      </w:r>
      <w:r>
        <w:rPr>
          <w:rFonts w:ascii="仿宋" w:hAnsi="仿宋" w:eastAsia="仿宋" w:cs="仿宋"/>
          <w:b/>
          <w:bCs/>
          <w:spacing w:val="15"/>
          <w:sz w:val="27"/>
          <w:szCs w:val="27"/>
        </w:rPr>
        <w:t>甲乙双方的违约责任</w:t>
      </w:r>
    </w:p>
    <w:p w14:paraId="4CA876B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1、甲乙双方如出现违约的，违约方自违约之日起，每日按合同 金额的1‰向对方承担违约责任并且及时采取有效补救措施，违约金 总额不超过本合同金额的5%,并继续履行本合同所规定的义务。</w:t>
      </w:r>
    </w:p>
    <w:p w14:paraId="48AFC0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2、乙方违约超过15日的，则甲方有权单方解除本合同，乙方应 依甲方要求并按合同金额的10%向甲方承担违约责任。</w:t>
      </w:r>
    </w:p>
    <w:p w14:paraId="436EC9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3、乙方必须为其员工购买“社会保障性保险”,按时发放工资， 并承担一切用工风险，否则，甲方有权单方解除本合同，且甲方有权 暂停向乙方支付任何款项，并有权从乙方的未付款中直接扣款。</w:t>
      </w:r>
    </w:p>
    <w:p w14:paraId="7D68F897">
      <w:pPr>
        <w:spacing w:before="20" w:line="222" w:lineRule="auto"/>
        <w:ind w:left="583"/>
        <w:outlineLvl w:val="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7"/>
          <w:sz w:val="27"/>
          <w:szCs w:val="27"/>
        </w:rPr>
        <w:t>第十条</w:t>
      </w:r>
      <w:r>
        <w:rPr>
          <w:rFonts w:ascii="仿宋" w:hAnsi="仿宋" w:eastAsia="仿宋" w:cs="仿宋"/>
          <w:spacing w:val="7"/>
          <w:sz w:val="27"/>
          <w:szCs w:val="27"/>
        </w:rPr>
        <w:t xml:space="preserve">  </w:t>
      </w:r>
      <w:r>
        <w:rPr>
          <w:rFonts w:ascii="仿宋" w:hAnsi="仿宋" w:eastAsia="仿宋" w:cs="仿宋"/>
          <w:b/>
          <w:bCs/>
          <w:spacing w:val="7"/>
          <w:sz w:val="27"/>
          <w:szCs w:val="27"/>
        </w:rPr>
        <w:t>合同变更与终止</w:t>
      </w:r>
    </w:p>
    <w:p w14:paraId="614D56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1、合同期间任何一方不得随意终止合同。</w:t>
      </w:r>
    </w:p>
    <w:p w14:paraId="27A8DC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2、本合同规定的履行期限届满，合同自动终止。</w:t>
      </w:r>
    </w:p>
    <w:p w14:paraId="789061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3、因双方机构撤并、职能调整等原因，确需终止合同的，双方 可协商终止合同。</w:t>
      </w:r>
    </w:p>
    <w:p w14:paraId="1E4B02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4、乙方应自觉遵守甲方工作纪律、规章制度，服从甲方管理。 因乙方原因给甲方造成严重后果，甲方可以单方面解除合同。</w:t>
      </w:r>
    </w:p>
    <w:p w14:paraId="3FE08254">
      <w:pPr>
        <w:spacing w:before="203" w:line="221" w:lineRule="auto"/>
        <w:ind w:left="583"/>
        <w:outlineLvl w:val="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1"/>
          <w:sz w:val="27"/>
          <w:szCs w:val="27"/>
        </w:rPr>
        <w:t>第十一条</w:t>
      </w:r>
      <w:r>
        <w:rPr>
          <w:rFonts w:ascii="仿宋" w:hAnsi="仿宋" w:eastAsia="仿宋" w:cs="仿宋"/>
          <w:spacing w:val="134"/>
          <w:sz w:val="27"/>
          <w:szCs w:val="27"/>
        </w:rPr>
        <w:t xml:space="preserve"> </w:t>
      </w:r>
      <w:r>
        <w:rPr>
          <w:rFonts w:ascii="仿宋" w:hAnsi="仿宋" w:eastAsia="仿宋" w:cs="仿宋"/>
          <w:b/>
          <w:bCs/>
          <w:spacing w:val="1"/>
          <w:sz w:val="27"/>
          <w:szCs w:val="27"/>
        </w:rPr>
        <w:t>保密约定</w:t>
      </w:r>
    </w:p>
    <w:p w14:paraId="25504B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甲乙双方对本合同的内容，以及在本合同履行过程中获得的对方 的信息，均负有保密义务。除甲乙双方另有约定外，保密义务是指在 未经对方书面同意前，一方不得将保密信息用于任何与履行本合同无 关的情况；或以任何形式向任何第三方泄漏。双方均有义务尽其一切 努力防止任何第三方窃取秘密信息。由于任何一方违反以上保密义务 给对方造成损失，违约方对受损失方负有停止侵害、消除影响、赔偿 损失的责任。</w:t>
      </w:r>
    </w:p>
    <w:p w14:paraId="34995167">
      <w:pPr>
        <w:spacing w:before="31" w:line="222" w:lineRule="auto"/>
        <w:ind w:left="583"/>
        <w:outlineLvl w:val="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3"/>
          <w:sz w:val="27"/>
          <w:szCs w:val="27"/>
        </w:rPr>
        <w:t>第十二条</w:t>
      </w:r>
      <w:r>
        <w:rPr>
          <w:rFonts w:ascii="仿宋" w:hAnsi="仿宋" w:eastAsia="仿宋" w:cs="仿宋"/>
          <w:spacing w:val="3"/>
          <w:sz w:val="27"/>
          <w:szCs w:val="27"/>
        </w:rPr>
        <w:t xml:space="preserve">  </w:t>
      </w:r>
      <w:r>
        <w:rPr>
          <w:rFonts w:ascii="仿宋" w:hAnsi="仿宋" w:eastAsia="仿宋" w:cs="仿宋"/>
          <w:b/>
          <w:bCs/>
          <w:spacing w:val="3"/>
          <w:sz w:val="27"/>
          <w:szCs w:val="27"/>
        </w:rPr>
        <w:t>不可抗力</w:t>
      </w:r>
    </w:p>
    <w:p w14:paraId="21024C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甲乙双方任何一方由于不可抗力原因不能履行合同时，应及时向 对方通报不能履行或不能完全履行的理由，以减轻可能给对方造成的 损失，在取得有关机构证明后，允许延期履行、部分履行或不履行合 同，并根据情况可部分或全部免予承担违约责任。</w:t>
      </w:r>
    </w:p>
    <w:p w14:paraId="1032BEBD">
      <w:pPr>
        <w:spacing w:before="30" w:line="222" w:lineRule="auto"/>
        <w:ind w:left="564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第十三条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争议解决</w:t>
      </w:r>
    </w:p>
    <w:p w14:paraId="41E2FF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双方本着友好合作的态度，对合同履行过程中发生的纠纷应及时 协商解决，协商不成，向甲方所在地人民法院诉讼解决。</w:t>
      </w:r>
    </w:p>
    <w:p w14:paraId="7E11117F">
      <w:pPr>
        <w:spacing w:before="13" w:line="222" w:lineRule="auto"/>
        <w:ind w:left="564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第十四条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监督和管理</w:t>
      </w:r>
    </w:p>
    <w:p w14:paraId="688521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1.采购合同履行中，甲方需追加与合同标的相同的货物、工程或 者服务的，在不改变合同其他条款的前提下，可以与乙方协商签订补 充合同，但所有补充合同的采购金额不得超过原合同采购金额的百分 之 十 。</w:t>
      </w:r>
    </w:p>
    <w:p w14:paraId="156C4D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2、甲乙双方均应自觉配合有关监督管理部门对合同履行情况的 监督检查，如实反映情况，提供有关资料；否则，将对有关单位、当 事人按照有关规定予以处罚。</w:t>
      </w:r>
    </w:p>
    <w:p w14:paraId="68FE7433">
      <w:pPr>
        <w:spacing w:before="207" w:line="222" w:lineRule="auto"/>
        <w:ind w:left="564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10"/>
          <w:sz w:val="28"/>
          <w:szCs w:val="28"/>
        </w:rPr>
        <w:t>第十五条</w:t>
      </w:r>
      <w:r>
        <w:rPr>
          <w:rFonts w:ascii="仿宋" w:hAnsi="仿宋" w:eastAsia="仿宋" w:cs="仿宋"/>
          <w:spacing w:val="9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spacing w:val="10"/>
          <w:sz w:val="28"/>
          <w:szCs w:val="28"/>
        </w:rPr>
        <w:t>信用融资(如有)</w:t>
      </w:r>
    </w:p>
    <w:p w14:paraId="1CC2FF9A">
      <w:pPr>
        <w:spacing w:before="181" w:line="221" w:lineRule="auto"/>
        <w:ind w:left="56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银行名称：</w:t>
      </w:r>
      <w:r>
        <w:rPr>
          <w:rFonts w:ascii="仿宋" w:hAnsi="仿宋" w:eastAsia="仿宋" w:cs="仿宋"/>
          <w:spacing w:val="-9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5"/>
          <w:sz w:val="28"/>
          <w:szCs w:val="28"/>
          <w:u w:val="single" w:color="auto"/>
        </w:rPr>
        <w:t xml:space="preserve">   </w:t>
      </w:r>
      <w:r>
        <w:rPr>
          <w:rFonts w:hint="eastAsia" w:ascii="仿宋" w:hAnsi="仿宋" w:eastAsia="仿宋" w:cs="仿宋"/>
          <w:spacing w:val="5"/>
          <w:sz w:val="28"/>
          <w:szCs w:val="28"/>
          <w:u w:val="single" w:color="auto"/>
          <w:lang w:val="en-US" w:eastAsia="zh-CN"/>
        </w:rPr>
        <w:t xml:space="preserve">   </w:t>
      </w:r>
      <w:r>
        <w:rPr>
          <w:rFonts w:ascii="仿宋" w:hAnsi="仿宋" w:eastAsia="仿宋" w:cs="仿宋"/>
          <w:spacing w:val="5"/>
          <w:sz w:val="28"/>
          <w:szCs w:val="28"/>
          <w:u w:val="single" w:color="auto"/>
        </w:rPr>
        <w:t xml:space="preserve"> </w:t>
      </w:r>
      <w:r>
        <w:rPr>
          <w:rFonts w:hint="eastAsia" w:ascii="仿宋" w:hAnsi="仿宋" w:eastAsia="仿宋" w:cs="仿宋"/>
          <w:spacing w:val="-6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  <w:u w:val="single" w:color="auto"/>
        </w:rPr>
        <w:t>，</w:t>
      </w:r>
      <w:r>
        <w:rPr>
          <w:rFonts w:ascii="仿宋" w:hAnsi="仿宋" w:eastAsia="仿宋" w:cs="仿宋"/>
          <w:spacing w:val="-6"/>
          <w:sz w:val="28"/>
          <w:szCs w:val="28"/>
        </w:rPr>
        <w:t>收款账号：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3"/>
          <w:sz w:val="28"/>
          <w:szCs w:val="28"/>
          <w:u w:val="single" w:color="auto"/>
        </w:rPr>
        <w:t xml:space="preserve">  </w:t>
      </w:r>
      <w:r>
        <w:rPr>
          <w:rFonts w:hint="eastAsia" w:ascii="仿宋" w:hAnsi="仿宋" w:eastAsia="仿宋" w:cs="仿宋"/>
          <w:spacing w:val="13"/>
          <w:sz w:val="28"/>
          <w:szCs w:val="28"/>
          <w:u w:val="single" w:color="auto"/>
          <w:lang w:val="en-US" w:eastAsia="zh-CN"/>
        </w:rPr>
        <w:t xml:space="preserve"> 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</w:t>
      </w:r>
    </w:p>
    <w:p w14:paraId="1DF120A2">
      <w:pPr>
        <w:spacing w:before="210" w:line="222" w:lineRule="auto"/>
        <w:ind w:left="564"/>
        <w:outlineLvl w:val="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1"/>
          <w:sz w:val="28"/>
          <w:szCs w:val="28"/>
        </w:rPr>
        <w:t>第十六条</w:t>
      </w:r>
      <w:r>
        <w:rPr>
          <w:rFonts w:ascii="仿宋" w:hAnsi="仿宋" w:eastAsia="仿宋" w:cs="仿宋"/>
          <w:spacing w:val="-1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spacing w:val="-1"/>
          <w:sz w:val="28"/>
          <w:szCs w:val="28"/>
        </w:rPr>
        <w:t>附则</w:t>
      </w:r>
    </w:p>
    <w:p w14:paraId="200505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1、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采购文件、成交通知书、乙方的响应文件及澄清说明文件都是本合同的组成部分，甲、乙双方必须全面遵守，如有违反，应承担违约责任。</w:t>
      </w:r>
    </w:p>
    <w:p w14:paraId="563E9E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2、本合同未尽事宜，双方共同协商达成补充协议，补充协议和 附件与本合同具有同等法律效力。</w:t>
      </w:r>
    </w:p>
    <w:p w14:paraId="40B4FC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3、本合同一式四份，甲乙双方各执两份。</w:t>
      </w:r>
    </w:p>
    <w:p w14:paraId="742174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>4、本合同自签订之日起生效。</w:t>
      </w:r>
    </w:p>
    <w:p w14:paraId="315A0C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highlight w:val="none"/>
        </w:rPr>
        <w:t xml:space="preserve">5、 附件 </w:t>
      </w:r>
    </w:p>
    <w:p w14:paraId="343811CB">
      <w:pPr>
        <w:pStyle w:val="2"/>
        <w:spacing w:line="348" w:lineRule="auto"/>
      </w:pPr>
    </w:p>
    <w:p w14:paraId="778B2921">
      <w:pPr>
        <w:pStyle w:val="2"/>
        <w:spacing w:line="349" w:lineRule="auto"/>
      </w:pPr>
    </w:p>
    <w:p w14:paraId="02C3C944">
      <w:pPr>
        <w:spacing w:before="87" w:line="222" w:lineRule="auto"/>
        <w:ind w:left="23"/>
        <w:rPr>
          <w:rFonts w:ascii="仿宋" w:hAnsi="仿宋" w:eastAsia="仿宋" w:cs="仿宋"/>
          <w:sz w:val="27"/>
          <w:szCs w:val="27"/>
        </w:rPr>
      </w:pPr>
      <w:r>
        <w:rPr>
          <w:rFonts w:ascii="仿宋" w:hAnsi="仿宋" w:eastAsia="仿宋" w:cs="仿宋"/>
          <w:b/>
          <w:bCs/>
          <w:spacing w:val="-7"/>
          <w:sz w:val="27"/>
          <w:szCs w:val="27"/>
        </w:rPr>
        <w:t>采购人(甲方):</w:t>
      </w:r>
    </w:p>
    <w:p w14:paraId="1BD7DA5A">
      <w:pPr>
        <w:pStyle w:val="2"/>
        <w:spacing w:line="284" w:lineRule="auto"/>
      </w:pPr>
    </w:p>
    <w:p w14:paraId="1B2765A4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 xml:space="preserve">法定代表人或委托代理人：                     </w:t>
      </w:r>
    </w:p>
    <w:p w14:paraId="6DE0A4A3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>开户银行：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</w:t>
      </w:r>
      <w:r>
        <w:rPr>
          <w:rFonts w:ascii="仿宋" w:hAnsi="仿宋" w:eastAsia="仿宋" w:cs="仿宋"/>
          <w:spacing w:val="7"/>
          <w:sz w:val="27"/>
          <w:szCs w:val="27"/>
        </w:rPr>
        <w:t xml:space="preserve">  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                   </w:t>
      </w:r>
      <w:r>
        <w:rPr>
          <w:rFonts w:ascii="仿宋" w:hAnsi="仿宋" w:eastAsia="仿宋" w:cs="仿宋"/>
          <w:spacing w:val="7"/>
          <w:sz w:val="27"/>
          <w:szCs w:val="27"/>
        </w:rPr>
        <w:t xml:space="preserve">    </w:t>
      </w:r>
    </w:p>
    <w:p w14:paraId="0C8A345B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>账    号 ：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</w:t>
      </w:r>
      <w:r>
        <w:rPr>
          <w:rFonts w:ascii="仿宋" w:hAnsi="仿宋" w:eastAsia="仿宋" w:cs="仿宋"/>
          <w:spacing w:val="7"/>
          <w:sz w:val="27"/>
          <w:szCs w:val="27"/>
        </w:rPr>
        <w:t xml:space="preserve">    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        </w:t>
      </w:r>
      <w:r>
        <w:rPr>
          <w:rFonts w:ascii="仿宋" w:hAnsi="仿宋" w:eastAsia="仿宋" w:cs="仿宋"/>
          <w:spacing w:val="7"/>
          <w:sz w:val="27"/>
          <w:szCs w:val="27"/>
        </w:rPr>
        <w:t xml:space="preserve">     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    </w:t>
      </w:r>
      <w:r>
        <w:rPr>
          <w:rFonts w:ascii="仿宋" w:hAnsi="仿宋" w:eastAsia="仿宋" w:cs="仿宋"/>
          <w:spacing w:val="7"/>
          <w:sz w:val="27"/>
          <w:szCs w:val="27"/>
        </w:rPr>
        <w:t xml:space="preserve">  </w:t>
      </w:r>
    </w:p>
    <w:p w14:paraId="376D8C57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 xml:space="preserve">电    话 ：      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</w:t>
      </w:r>
      <w:r>
        <w:rPr>
          <w:rFonts w:ascii="仿宋" w:hAnsi="仿宋" w:eastAsia="仿宋" w:cs="仿宋"/>
          <w:spacing w:val="7"/>
          <w:sz w:val="27"/>
          <w:szCs w:val="27"/>
        </w:rPr>
        <w:t xml:space="preserve">          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</w:t>
      </w:r>
      <w:r>
        <w:rPr>
          <w:rFonts w:ascii="仿宋" w:hAnsi="仿宋" w:eastAsia="仿宋" w:cs="仿宋"/>
          <w:spacing w:val="7"/>
          <w:sz w:val="27"/>
          <w:szCs w:val="27"/>
        </w:rPr>
        <w:t xml:space="preserve"> 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  </w:t>
      </w:r>
      <w:r>
        <w:rPr>
          <w:rFonts w:ascii="仿宋" w:hAnsi="仿宋" w:eastAsia="仿宋" w:cs="仿宋"/>
          <w:spacing w:val="7"/>
          <w:sz w:val="27"/>
          <w:szCs w:val="27"/>
        </w:rPr>
        <w:t xml:space="preserve">   </w:t>
      </w:r>
    </w:p>
    <w:p w14:paraId="0827D1A7">
      <w:pPr>
        <w:spacing w:before="116" w:line="223" w:lineRule="auto"/>
        <w:rPr>
          <w:rFonts w:hint="default" w:ascii="仿宋" w:hAnsi="仿宋" w:eastAsia="仿宋" w:cs="仿宋"/>
          <w:spacing w:val="7"/>
          <w:sz w:val="27"/>
          <w:szCs w:val="27"/>
          <w:lang w:val="en-US" w:eastAsia="zh-CN"/>
        </w:rPr>
      </w:pPr>
      <w:r>
        <w:rPr>
          <w:rFonts w:ascii="仿宋" w:hAnsi="仿宋" w:eastAsia="仿宋" w:cs="仿宋"/>
          <w:spacing w:val="7"/>
          <w:sz w:val="27"/>
          <w:szCs w:val="27"/>
        </w:rPr>
        <w:t>地    址 ：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                        </w:t>
      </w:r>
    </w:p>
    <w:p w14:paraId="0BB1A49B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 xml:space="preserve">时    间 ：                   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</w:t>
      </w:r>
      <w:r>
        <w:rPr>
          <w:rFonts w:ascii="仿宋" w:hAnsi="仿宋" w:eastAsia="仿宋" w:cs="仿宋"/>
          <w:spacing w:val="7"/>
          <w:sz w:val="27"/>
          <w:szCs w:val="27"/>
        </w:rPr>
        <w:t xml:space="preserve">     </w:t>
      </w:r>
    </w:p>
    <w:p w14:paraId="5F4F7819">
      <w:pPr>
        <w:pStyle w:val="2"/>
        <w:spacing w:line="285" w:lineRule="auto"/>
      </w:pPr>
    </w:p>
    <w:p w14:paraId="2050B4DF">
      <w:pPr>
        <w:pStyle w:val="2"/>
        <w:spacing w:line="285" w:lineRule="auto"/>
      </w:pPr>
    </w:p>
    <w:p w14:paraId="13799C78">
      <w:pPr>
        <w:pStyle w:val="2"/>
        <w:spacing w:line="286" w:lineRule="auto"/>
      </w:pPr>
    </w:p>
    <w:p w14:paraId="4395C238">
      <w:pPr>
        <w:pStyle w:val="2"/>
        <w:spacing w:line="286" w:lineRule="auto"/>
      </w:pPr>
    </w:p>
    <w:p w14:paraId="431BDC8E">
      <w:pPr>
        <w:spacing w:before="88" w:line="222" w:lineRule="auto"/>
        <w:ind w:left="23"/>
        <w:rPr>
          <w:rFonts w:hint="eastAsia" w:ascii="仿宋" w:hAnsi="仿宋" w:eastAsia="仿宋" w:cs="仿宋"/>
          <w:sz w:val="27"/>
          <w:szCs w:val="27"/>
          <w:lang w:eastAsia="zh-CN"/>
        </w:rPr>
      </w:pPr>
      <w:r>
        <w:rPr>
          <w:rFonts w:ascii="仿宋" w:hAnsi="仿宋" w:eastAsia="仿宋" w:cs="仿宋"/>
          <w:b/>
          <w:bCs/>
          <w:spacing w:val="14"/>
          <w:sz w:val="27"/>
          <w:szCs w:val="27"/>
        </w:rPr>
        <w:t>供应商(乙方):</w:t>
      </w:r>
      <w:r>
        <w:rPr>
          <w:rFonts w:hint="eastAsia" w:ascii="仿宋" w:hAnsi="仿宋" w:eastAsia="仿宋" w:cs="仿宋"/>
          <w:b/>
          <w:bCs/>
          <w:spacing w:val="14"/>
          <w:sz w:val="27"/>
          <w:szCs w:val="27"/>
          <w:lang w:val="en-US" w:eastAsia="zh-CN"/>
        </w:rPr>
        <w:t xml:space="preserve"> </w:t>
      </w:r>
    </w:p>
    <w:p w14:paraId="072F1204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>法定代表人或委托代理人：            _</w:t>
      </w:r>
    </w:p>
    <w:p w14:paraId="618B1413">
      <w:pPr>
        <w:spacing w:before="116" w:line="223" w:lineRule="auto"/>
        <w:rPr>
          <w:rFonts w:hint="default" w:ascii="仿宋" w:hAnsi="仿宋" w:eastAsia="仿宋" w:cs="仿宋"/>
          <w:spacing w:val="7"/>
          <w:sz w:val="27"/>
          <w:szCs w:val="27"/>
          <w:lang w:val="en-US" w:eastAsia="zh-CN"/>
        </w:rPr>
      </w:pPr>
      <w:r>
        <w:rPr>
          <w:rFonts w:ascii="仿宋" w:hAnsi="仿宋" w:eastAsia="仿宋" w:cs="仿宋"/>
          <w:spacing w:val="7"/>
          <w:sz w:val="27"/>
          <w:szCs w:val="27"/>
        </w:rPr>
        <w:t xml:space="preserve">开户银行： 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                          </w:t>
      </w:r>
    </w:p>
    <w:p w14:paraId="255090F8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 xml:space="preserve">账    号 ：              </w:t>
      </w:r>
    </w:p>
    <w:p w14:paraId="23CEAB5E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 xml:space="preserve">电    话 ：                   </w:t>
      </w:r>
    </w:p>
    <w:p w14:paraId="5BE5780B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>地    址 ：</w:t>
      </w:r>
    </w:p>
    <w:p w14:paraId="574A37D6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>时    间：   年 月</w:t>
      </w:r>
      <w:r>
        <w:rPr>
          <w:rFonts w:hint="eastAsia" w:ascii="仿宋" w:hAnsi="仿宋" w:eastAsia="仿宋" w:cs="仿宋"/>
          <w:spacing w:val="7"/>
          <w:sz w:val="27"/>
          <w:szCs w:val="27"/>
          <w:lang w:val="en-US" w:eastAsia="zh-CN"/>
        </w:rPr>
        <w:t xml:space="preserve"> </w:t>
      </w:r>
      <w:r>
        <w:rPr>
          <w:rFonts w:ascii="仿宋" w:hAnsi="仿宋" w:eastAsia="仿宋" w:cs="仿宋"/>
          <w:spacing w:val="7"/>
          <w:sz w:val="27"/>
          <w:szCs w:val="27"/>
        </w:rPr>
        <w:t>日</w:t>
      </w:r>
    </w:p>
    <w:p w14:paraId="11A8C0AB">
      <w:pPr>
        <w:spacing w:before="116" w:line="223" w:lineRule="auto"/>
        <w:rPr>
          <w:rFonts w:ascii="仿宋" w:hAnsi="仿宋" w:eastAsia="仿宋" w:cs="仿宋"/>
          <w:spacing w:val="7"/>
          <w:sz w:val="27"/>
          <w:szCs w:val="27"/>
        </w:rPr>
      </w:pPr>
      <w:r>
        <w:rPr>
          <w:rFonts w:ascii="仿宋" w:hAnsi="仿宋" w:eastAsia="仿宋" w:cs="仿宋"/>
          <w:spacing w:val="7"/>
          <w:sz w:val="27"/>
          <w:szCs w:val="27"/>
        </w:rPr>
        <w:t xml:space="preserve">                                 </w:t>
      </w:r>
    </w:p>
    <w:sectPr>
      <w:footerReference r:id="rId6" w:type="default"/>
      <w:pgSz w:w="11900" w:h="16840"/>
      <w:pgMar w:top="1431" w:right="1785" w:bottom="1170" w:left="1680" w:header="0" w:footer="105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F743B">
    <w:pPr>
      <w:spacing w:line="173" w:lineRule="auto"/>
      <w:ind w:left="4045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D9799">
    <w:pPr>
      <w:spacing w:line="172" w:lineRule="auto"/>
      <w:ind w:left="3869"/>
      <w:rPr>
        <w:rFonts w:ascii="Times New Roman" w:hAnsi="Times New Roman" w:eastAsia="Times New Roman" w:cs="Times New Roman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513153"/>
    <w:rsid w:val="029A7D90"/>
    <w:rsid w:val="059E7B97"/>
    <w:rsid w:val="07106873"/>
    <w:rsid w:val="09364775"/>
    <w:rsid w:val="0B83345A"/>
    <w:rsid w:val="0E511C4A"/>
    <w:rsid w:val="0E8F2773"/>
    <w:rsid w:val="0F9067A2"/>
    <w:rsid w:val="127203E1"/>
    <w:rsid w:val="136046DE"/>
    <w:rsid w:val="16C80323"/>
    <w:rsid w:val="170D692B"/>
    <w:rsid w:val="191E4E1F"/>
    <w:rsid w:val="1A78055F"/>
    <w:rsid w:val="1A92045C"/>
    <w:rsid w:val="1D9C4564"/>
    <w:rsid w:val="1DF8192D"/>
    <w:rsid w:val="22062D12"/>
    <w:rsid w:val="24D46CDA"/>
    <w:rsid w:val="2C532BDA"/>
    <w:rsid w:val="2F176141"/>
    <w:rsid w:val="33A04957"/>
    <w:rsid w:val="358636D8"/>
    <w:rsid w:val="36127662"/>
    <w:rsid w:val="361909F0"/>
    <w:rsid w:val="387168C2"/>
    <w:rsid w:val="3AEA295B"/>
    <w:rsid w:val="3B16522C"/>
    <w:rsid w:val="3C026E8F"/>
    <w:rsid w:val="40DB5220"/>
    <w:rsid w:val="496164DE"/>
    <w:rsid w:val="4C997749"/>
    <w:rsid w:val="4CB96C30"/>
    <w:rsid w:val="53DD0E57"/>
    <w:rsid w:val="5B8811A9"/>
    <w:rsid w:val="5CD129FB"/>
    <w:rsid w:val="60AC5E39"/>
    <w:rsid w:val="6217418A"/>
    <w:rsid w:val="6694184A"/>
    <w:rsid w:val="69E14DA6"/>
    <w:rsid w:val="6BA43C76"/>
    <w:rsid w:val="6D8E6FF3"/>
    <w:rsid w:val="702B222F"/>
    <w:rsid w:val="71EB19B2"/>
    <w:rsid w:val="77ED700C"/>
    <w:rsid w:val="780B56E4"/>
    <w:rsid w:val="795F5C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Body Text First Indent"/>
    <w:basedOn w:val="2"/>
    <w:qFormat/>
    <w:uiPriority w:val="0"/>
    <w:pPr>
      <w:widowControl/>
      <w:spacing w:after="120"/>
      <w:ind w:firstLine="420" w:firstLineChars="100"/>
    </w:pPr>
    <w:rPr>
      <w:rFonts w:ascii="Times New Roman" w:hAnsi="Times New Roman" w:eastAsia="宋体" w:cs="Times New Roman"/>
      <w:kern w:val="2"/>
      <w:sz w:val="28"/>
      <w:szCs w:val="24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3982</Words>
  <Characters>4164</Characters>
  <TotalTime>8</TotalTime>
  <ScaleCrop>false</ScaleCrop>
  <LinksUpToDate>false</LinksUpToDate>
  <CharactersWithSpaces>4731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2026-04-16T19:06:00Z</dcterms:created>
  <dc:creator>83406</dc:creator>
  <cp:lastModifiedBy>王涛</cp:lastModifiedBy>
  <dcterms:modified xsi:type="dcterms:W3CDTF">2026-04-16T11:45:54Z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2026-04-16T19:06:51Z</vt:filetime>
  </property>
  <property fmtid="{D5CDD505-2E9C-101B-9397-08002B2CF9AE}" pid="4" name="UsrData">
    <vt:lpwstr>69e0c2c7115626001fcc79fdwl</vt:lpwstr>
  </property>
  <property fmtid="{D5CDD505-2E9C-101B-9397-08002B2CF9AE}" pid="5" name="KSOTemplateDocerSaveRecord">
    <vt:lpwstr>eyJoZGlkIjoiMzEwNTM5NzYwMDRjMzkwZTVkZjY2ODkwMGIxNGU0OTUiLCJ1c2VySWQiOiIxNDQwNDg3Njk4In0=</vt:lpwstr>
  </property>
  <property fmtid="{D5CDD505-2E9C-101B-9397-08002B2CF9AE}" pid="6" name="KSOProductBuildVer">
    <vt:lpwstr>2052-12.1.0.25225</vt:lpwstr>
  </property>
  <property fmtid="{D5CDD505-2E9C-101B-9397-08002B2CF9AE}" pid="7" name="ICV">
    <vt:lpwstr>90F5BD4A345D4E439B4DBF011E438F63_12</vt:lpwstr>
  </property>
</Properties>
</file>